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2AFBF" w14:textId="77777777" w:rsidR="003F4D12" w:rsidRDefault="003F4D12" w:rsidP="003F4D12">
      <w:pPr>
        <w:pStyle w:val="a9"/>
        <w:spacing w:before="312" w:after="312"/>
        <w:ind w:right="420"/>
        <w:jc w:val="center"/>
      </w:pPr>
      <w:r>
        <w:rPr>
          <w:rFonts w:hint="eastAsia"/>
          <w:noProof/>
          <w:lang w:eastAsia="en-US"/>
        </w:rPr>
        <w:drawing>
          <wp:inline distT="0" distB="0" distL="0" distR="0" wp14:anchorId="58D36A35" wp14:editId="419E6179">
            <wp:extent cx="5536889" cy="3114499"/>
            <wp:effectExtent l="0" t="0" r="698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S1 Wang and Hamil.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62367" cy="3128830"/>
                    </a:xfrm>
                    <a:prstGeom prst="rect">
                      <a:avLst/>
                    </a:prstGeom>
                  </pic:spPr>
                </pic:pic>
              </a:graphicData>
            </a:graphic>
          </wp:inline>
        </w:drawing>
      </w:r>
    </w:p>
    <w:p w14:paraId="4B1D0FD2" w14:textId="5F1A5ABC" w:rsidR="003F4D12" w:rsidRDefault="003F4D12" w:rsidP="003F4D12">
      <w:pPr>
        <w:ind w:firstLineChars="0" w:firstLine="0"/>
      </w:pPr>
      <w:r w:rsidRPr="008F28FF">
        <w:rPr>
          <w:b/>
        </w:rPr>
        <w:t>Supplementary Fig</w:t>
      </w:r>
      <w:r>
        <w:rPr>
          <w:b/>
        </w:rPr>
        <w:t>.</w:t>
      </w:r>
      <w:r w:rsidRPr="008F28FF">
        <w:rPr>
          <w:b/>
        </w:rPr>
        <w:t xml:space="preserve"> 1. </w:t>
      </w:r>
      <w:r w:rsidRPr="009E35FE">
        <w:rPr>
          <w:b/>
          <w:bCs/>
        </w:rPr>
        <w:t>Single-cell RNA-sequencing (</w:t>
      </w:r>
      <w:proofErr w:type="spellStart"/>
      <w:r w:rsidRPr="009E35FE">
        <w:rPr>
          <w:b/>
          <w:bCs/>
        </w:rPr>
        <w:t>scRNA</w:t>
      </w:r>
      <w:proofErr w:type="spellEnd"/>
      <w:r w:rsidRPr="009E35FE">
        <w:rPr>
          <w:b/>
          <w:bCs/>
        </w:rPr>
        <w:t>-seq) of Piezo2 and other genes in mouse dorsal root ganglion neurons.</w:t>
      </w:r>
      <w:r>
        <w:t xml:space="preserve"> </w:t>
      </w:r>
      <w:r w:rsidR="000756CF">
        <w:t>(</w:t>
      </w:r>
      <w:proofErr w:type="gramStart"/>
      <w:r w:rsidRPr="008F28FF">
        <w:t>A,B</w:t>
      </w:r>
      <w:proofErr w:type="gramEnd"/>
      <w:r w:rsidR="000756CF">
        <w:t>)</w:t>
      </w:r>
      <w:r>
        <w:t xml:space="preserve"> </w:t>
      </w:r>
      <w:proofErr w:type="spellStart"/>
      <w:r w:rsidRPr="008F28FF">
        <w:t>scRNA</w:t>
      </w:r>
      <w:proofErr w:type="spellEnd"/>
      <w:r w:rsidRPr="008F28FF">
        <w:t xml:space="preserve">-seq scatter plots for </w:t>
      </w:r>
      <w:r w:rsidRPr="001B5438">
        <w:rPr>
          <w:i/>
        </w:rPr>
        <w:t>Piezo2</w:t>
      </w:r>
      <w:r w:rsidRPr="008F28FF">
        <w:t xml:space="preserve"> (A) and the housekeeper gene </w:t>
      </w:r>
      <w:proofErr w:type="spellStart"/>
      <w:r w:rsidRPr="001B5438">
        <w:rPr>
          <w:i/>
        </w:rPr>
        <w:t>Ppib</w:t>
      </w:r>
      <w:proofErr w:type="spellEnd"/>
      <w:r w:rsidRPr="008F28FF">
        <w:t xml:space="preserve"> (B) taken from </w:t>
      </w:r>
      <w:r>
        <w:t>[</w:t>
      </w:r>
      <w:r w:rsidR="008A238F">
        <w:t>1</w:t>
      </w:r>
      <w:r>
        <w:t>]</w:t>
      </w:r>
      <w:r w:rsidRPr="008F28FF">
        <w:t xml:space="preserve"> (see </w:t>
      </w:r>
      <w:hyperlink r:id="rId9" w:history="1">
        <w:r w:rsidR="00C23609" w:rsidRPr="00F55AD3">
          <w:rPr>
            <w:rStyle w:val="Hyperlink"/>
          </w:rPr>
          <w:t>http://linnarssonlab.org/drg/</w:t>
        </w:r>
      </w:hyperlink>
      <w:r w:rsidRPr="008F28FF">
        <w:t xml:space="preserve">). The vertical axis represents the normalized gene expression levels in </w:t>
      </w:r>
      <w:r>
        <w:t>individ</w:t>
      </w:r>
      <w:r w:rsidR="00646DAF">
        <w:t>ual cells' reads per million (RPM</w:t>
      </w:r>
      <w:r>
        <w:t>)</w:t>
      </w:r>
      <w:r w:rsidRPr="008F28FF">
        <w:t>. The R</w:t>
      </w:r>
      <w:r w:rsidR="00646DAF">
        <w:t>PM</w:t>
      </w:r>
      <w:r w:rsidRPr="008F28FF">
        <w:t xml:space="preserve"> counts are grouped along the horizontal axis according to identified populations separated by the solid vertical lines in the order: N</w:t>
      </w:r>
      <w:r w:rsidR="001F79E4">
        <w:t>F</w:t>
      </w:r>
      <w:r w:rsidRPr="008F28FF">
        <w:t>, N</w:t>
      </w:r>
      <w:r w:rsidR="001F79E4">
        <w:t>P</w:t>
      </w:r>
      <w:r w:rsidRPr="008F28FF">
        <w:t>, P</w:t>
      </w:r>
      <w:r w:rsidR="001F79E4">
        <w:t>EP</w:t>
      </w:r>
      <w:r w:rsidRPr="008F28FF">
        <w:t>, T</w:t>
      </w:r>
      <w:r w:rsidR="001F79E4">
        <w:t>H</w:t>
      </w:r>
      <w:r w:rsidRPr="008F28FF">
        <w:t xml:space="preserve"> populations (N</w:t>
      </w:r>
      <w:r w:rsidR="001F79E4">
        <w:t>F</w:t>
      </w:r>
      <w:r w:rsidRPr="008F28FF">
        <w:t>, Neurofilament; NP, Non-</w:t>
      </w:r>
      <w:proofErr w:type="spellStart"/>
      <w:r w:rsidRPr="008F28FF">
        <w:t>Peptidergic</w:t>
      </w:r>
      <w:proofErr w:type="spellEnd"/>
      <w:r w:rsidRPr="008F28FF">
        <w:t>; P</w:t>
      </w:r>
      <w:r w:rsidR="001F79E4">
        <w:t>EP</w:t>
      </w:r>
      <w:r w:rsidRPr="008F28FF">
        <w:t xml:space="preserve">, </w:t>
      </w:r>
      <w:proofErr w:type="spellStart"/>
      <w:r w:rsidRPr="008F28FF">
        <w:t>Peptidergic</w:t>
      </w:r>
      <w:proofErr w:type="spellEnd"/>
      <w:r w:rsidRPr="008F28FF">
        <w:t>; and T</w:t>
      </w:r>
      <w:r w:rsidR="001F79E4">
        <w:t>H</w:t>
      </w:r>
      <w:r w:rsidRPr="008F28FF">
        <w:t>, tyrosine hydroxylase). The dashed vertical lines separate major populations into further subtypes, for example</w:t>
      </w:r>
      <w:r>
        <w:t>,</w:t>
      </w:r>
      <w:r w:rsidRPr="008F28FF">
        <w:t xml:space="preserve"> NF1 to NF5 for N</w:t>
      </w:r>
      <w:r>
        <w:t>.F.</w:t>
      </w:r>
      <w:r w:rsidRPr="008F28FF">
        <w:t xml:space="preserve"> major type. </w:t>
      </w:r>
      <w:r w:rsidR="004B68BF">
        <w:t>(</w:t>
      </w:r>
      <w:proofErr w:type="gramStart"/>
      <w:r w:rsidRPr="008F28FF">
        <w:t>C,D</w:t>
      </w:r>
      <w:proofErr w:type="gramEnd"/>
      <w:r w:rsidR="004B68BF">
        <w:t>)</w:t>
      </w:r>
      <w:r>
        <w:t xml:space="preserve"> </w:t>
      </w:r>
      <w:proofErr w:type="spellStart"/>
      <w:r w:rsidR="001B5438">
        <w:t>scRNA</w:t>
      </w:r>
      <w:proofErr w:type="spellEnd"/>
      <w:r w:rsidR="001B5438">
        <w:t>-seq</w:t>
      </w:r>
      <w:r w:rsidR="001B5438" w:rsidRPr="008F28FF">
        <w:t xml:space="preserve"> </w:t>
      </w:r>
      <w:r w:rsidRPr="008F28FF">
        <w:t xml:space="preserve">of </w:t>
      </w:r>
      <w:r w:rsidRPr="001B5438">
        <w:rPr>
          <w:i/>
        </w:rPr>
        <w:t>Piezo2</w:t>
      </w:r>
      <w:r w:rsidRPr="008F28FF">
        <w:t xml:space="preserve"> in mouse D</w:t>
      </w:r>
      <w:r w:rsidR="001F79E4">
        <w:t>RG</w:t>
      </w:r>
      <w:r w:rsidRPr="008F28FF">
        <w:t xml:space="preserve"> </w:t>
      </w:r>
      <w:r>
        <w:t xml:space="preserve">was </w:t>
      </w:r>
      <w:r w:rsidRPr="008F28FF">
        <w:t>taken f</w:t>
      </w:r>
      <w:r>
        <w:t>ro</w:t>
      </w:r>
      <w:r w:rsidRPr="008F28FF">
        <w:t>m [2</w:t>
      </w:r>
      <w:r>
        <w:t>]</w:t>
      </w:r>
      <w:r w:rsidRPr="008F28FF">
        <w:t xml:space="preserve"> </w:t>
      </w:r>
      <w:r>
        <w:t>(</w:t>
      </w:r>
      <w:r w:rsidRPr="008F28FF">
        <w:t xml:space="preserve">see </w:t>
      </w:r>
      <w:hyperlink r:id="rId10" w:history="1">
        <w:r w:rsidR="004E6ED2" w:rsidRPr="00F55AD3">
          <w:rPr>
            <w:rStyle w:val="Hyperlink"/>
          </w:rPr>
          <w:t>https://kleintools.hms.harvard.edu/tools/springViewer_1_6_dev.html?datasets/Sharma2019/all</w:t>
        </w:r>
      </w:hyperlink>
      <w:r>
        <w:t>)</w:t>
      </w:r>
      <w:r w:rsidRPr="008F28FF">
        <w:t>.</w:t>
      </w:r>
      <w:r w:rsidR="00012463">
        <w:t xml:space="preserve"> </w:t>
      </w:r>
      <w:r w:rsidRPr="001B5438">
        <w:rPr>
          <w:i/>
        </w:rPr>
        <w:t>Piezo2</w:t>
      </w:r>
      <w:r w:rsidRPr="008F28FF">
        <w:t xml:space="preserve"> is expressed in 13 of 14 functional classes of D</w:t>
      </w:r>
      <w:r w:rsidR="001F79E4">
        <w:t>RG</w:t>
      </w:r>
      <w:r w:rsidRPr="008F28FF">
        <w:t xml:space="preserve"> neurons with little or no Piezo2 expression in </w:t>
      </w:r>
      <w:r w:rsidRPr="001B5438">
        <w:rPr>
          <w:i/>
        </w:rPr>
        <w:t>Trpm8+</w:t>
      </w:r>
      <w:r w:rsidRPr="008F28FF">
        <w:t xml:space="preserve"> cold thermoreceptors, which represent only 5</w:t>
      </w:r>
      <w:r w:rsidR="008A238F">
        <w:t>–</w:t>
      </w:r>
      <w:r w:rsidRPr="008F28FF">
        <w:t>10% of the total D</w:t>
      </w:r>
      <w:r w:rsidR="001F79E4">
        <w:t>RG</w:t>
      </w:r>
      <w:r w:rsidRPr="008F28FF">
        <w:t xml:space="preserve"> neurons </w:t>
      </w:r>
      <w:r>
        <w:t>[</w:t>
      </w:r>
      <w:r w:rsidR="008A238F">
        <w:t>3</w:t>
      </w:r>
      <w:r>
        <w:t>]</w:t>
      </w:r>
      <w:r w:rsidRPr="008F28FF">
        <w:t xml:space="preserve"> and could reflect the ~10% of D</w:t>
      </w:r>
      <w:r w:rsidR="001F79E4">
        <w:t>RG</w:t>
      </w:r>
      <w:r w:rsidRPr="008F28FF">
        <w:t xml:space="preserve"> neurons that we saw</w:t>
      </w:r>
      <w:r>
        <w:t xml:space="preserve"> </w:t>
      </w:r>
      <w:r w:rsidRPr="008F28FF">
        <w:t>unstained by the anti-PIEZO2 Ab.</w:t>
      </w:r>
    </w:p>
    <w:p w14:paraId="5AD4219E" w14:textId="77777777" w:rsidR="00557737" w:rsidRDefault="00557737" w:rsidP="00305E2B">
      <w:pPr>
        <w:ind w:firstLine="420"/>
        <w:sectPr w:rsidR="00557737" w:rsidSect="00305E2B">
          <w:headerReference w:type="even" r:id="rId11"/>
          <w:headerReference w:type="default" r:id="rId12"/>
          <w:footerReference w:type="even" r:id="rId13"/>
          <w:footerReference w:type="default" r:id="rId14"/>
          <w:headerReference w:type="first" r:id="rId15"/>
          <w:footerReference w:type="first" r:id="rId16"/>
          <w:pgSz w:w="11906" w:h="16838"/>
          <w:pgMar w:top="851" w:right="1134" w:bottom="851" w:left="1134" w:header="283" w:footer="1134" w:gutter="0"/>
          <w:cols w:space="425"/>
          <w:titlePg/>
          <w:docGrid w:type="lines" w:linePitch="312"/>
        </w:sectPr>
      </w:pPr>
    </w:p>
    <w:p w14:paraId="34F4D889" w14:textId="77777777" w:rsidR="006373EF" w:rsidRPr="00557737" w:rsidRDefault="006373EF" w:rsidP="00305E2B">
      <w:pPr>
        <w:ind w:firstLine="420"/>
      </w:pPr>
    </w:p>
    <w:p w14:paraId="3023D32A" w14:textId="77777777" w:rsidR="00305E2B" w:rsidRDefault="00305E2B" w:rsidP="00305E2B">
      <w:pPr>
        <w:ind w:firstLine="480"/>
        <w:jc w:val="center"/>
        <w:rPr>
          <w:rFonts w:eastAsiaTheme="minorEastAsia"/>
          <w:color w:val="0563C1"/>
          <w:sz w:val="24"/>
          <w:szCs w:val="24"/>
        </w:rPr>
      </w:pPr>
      <w:r>
        <w:rPr>
          <w:rFonts w:eastAsiaTheme="minorEastAsia" w:hint="eastAsia"/>
          <w:noProof/>
          <w:color w:val="0563C1"/>
          <w:sz w:val="24"/>
          <w:szCs w:val="24"/>
          <w:lang w:eastAsia="en-US"/>
        </w:rPr>
        <w:drawing>
          <wp:inline distT="0" distB="0" distL="0" distR="0" wp14:anchorId="740E4036" wp14:editId="61C24EFA">
            <wp:extent cx="5191818" cy="2900274"/>
            <wp:effectExtent l="0" t="0" r="889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ure S2 Wang and Hamill.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22419" cy="2917368"/>
                    </a:xfrm>
                    <a:prstGeom prst="rect">
                      <a:avLst/>
                    </a:prstGeom>
                  </pic:spPr>
                </pic:pic>
              </a:graphicData>
            </a:graphic>
          </wp:inline>
        </w:drawing>
      </w:r>
    </w:p>
    <w:p w14:paraId="6968D277" w14:textId="4D922F5B" w:rsidR="00305E2B" w:rsidRPr="001C5804" w:rsidRDefault="00305E2B" w:rsidP="00305E2B">
      <w:pPr>
        <w:ind w:firstLineChars="0" w:firstLine="0"/>
        <w:rPr>
          <w:rFonts w:ascii="Calibri" w:hAnsi="Calibri"/>
          <w:color w:val="0000FF"/>
          <w:u w:val="single"/>
        </w:rPr>
      </w:pPr>
      <w:r>
        <w:rPr>
          <w:b/>
        </w:rPr>
        <w:t xml:space="preserve">Supplementary Fig. 2. </w:t>
      </w:r>
      <w:r w:rsidRPr="000C1237">
        <w:rPr>
          <w:b/>
          <w:bCs/>
        </w:rPr>
        <w:t xml:space="preserve">PIEZO2 protein/gene expression measured in cells/tissues of the human brain. </w:t>
      </w:r>
      <w:r w:rsidR="000C1237" w:rsidRPr="000C1237">
        <w:rPr>
          <w:bCs/>
        </w:rPr>
        <w:t>(</w:t>
      </w:r>
      <w:r w:rsidRPr="000C1237">
        <w:rPr>
          <w:bCs/>
        </w:rPr>
        <w:t>A</w:t>
      </w:r>
      <w:r w:rsidR="008A238F" w:rsidRPr="000C1237">
        <w:rPr>
          <w:bCs/>
        </w:rPr>
        <w:t>–</w:t>
      </w:r>
      <w:r w:rsidRPr="000C1237">
        <w:rPr>
          <w:bCs/>
        </w:rPr>
        <w:t>C</w:t>
      </w:r>
      <w:r w:rsidR="000C1237">
        <w:rPr>
          <w:bCs/>
        </w:rPr>
        <w:t>)</w:t>
      </w:r>
      <w:r w:rsidRPr="000C1237">
        <w:t xml:space="preserve"> </w:t>
      </w:r>
      <w:r>
        <w:t>PIEZO2 expression measured in specific human brain regions isolated from deceased humans. The data is taken from the study of [</w:t>
      </w:r>
      <w:r w:rsidR="008A238F">
        <w:t>4</w:t>
      </w:r>
      <w:r>
        <w:t xml:space="preserve">] (see also </w:t>
      </w:r>
      <w:hyperlink r:id="rId18" w:history="1">
        <w:r>
          <w:rPr>
            <w:rStyle w:val="Hyperlink"/>
            <w:szCs w:val="24"/>
          </w:rPr>
          <w:t>https://www.proteinatlas.org/ENSG00000154864-PIEZO2/tissue</w:t>
        </w:r>
      </w:hyperlink>
      <w:r w:rsidR="001D7744">
        <w:t>)</w:t>
      </w:r>
      <w:r>
        <w:t xml:space="preserve"> and represent brain slices stained by an anti-PIEZO2 Ab (HPA015986) showing positively stained cells in slices of the human neocortex (A), hippocampus (B) and cerebellar cortex (C). Most impressive is the highly selective staining of Purkinje cells compared with the far more abundant granule cells [</w:t>
      </w:r>
      <w:r w:rsidR="008A238F">
        <w:t>4</w:t>
      </w:r>
      <w:r>
        <w:t xml:space="preserve">]. </w:t>
      </w:r>
      <w:r w:rsidR="005D11F4">
        <w:t>(</w:t>
      </w:r>
      <w:r w:rsidRPr="005D11F4">
        <w:rPr>
          <w:bCs/>
        </w:rPr>
        <w:t>D</w:t>
      </w:r>
      <w:r w:rsidR="005D11F4">
        <w:rPr>
          <w:b/>
        </w:rPr>
        <w:t>)</w:t>
      </w:r>
      <w:r>
        <w:rPr>
          <w:b/>
        </w:rPr>
        <w:t xml:space="preserve"> </w:t>
      </w:r>
      <w:r w:rsidR="001F79E4">
        <w:rPr>
          <w:kern w:val="36"/>
        </w:rPr>
        <w:t>Global RNA</w:t>
      </w:r>
      <w:r>
        <w:rPr>
          <w:kern w:val="36"/>
        </w:rPr>
        <w:t xml:space="preserve"> expression of </w:t>
      </w:r>
      <w:r w:rsidRPr="001B5438">
        <w:rPr>
          <w:i/>
          <w:kern w:val="36"/>
        </w:rPr>
        <w:t>PIEZO2</w:t>
      </w:r>
      <w:r>
        <w:rPr>
          <w:kern w:val="36"/>
        </w:rPr>
        <w:t xml:space="preserve"> in specific human brain regions. The data is taken from the </w:t>
      </w:r>
      <w:proofErr w:type="spellStart"/>
      <w:r>
        <w:rPr>
          <w:kern w:val="36"/>
        </w:rPr>
        <w:t>GTex</w:t>
      </w:r>
      <w:proofErr w:type="spellEnd"/>
      <w:r>
        <w:rPr>
          <w:kern w:val="36"/>
        </w:rPr>
        <w:t xml:space="preserve"> consortium </w:t>
      </w:r>
      <w:r>
        <w:rPr>
          <w:kern w:val="24"/>
          <w:sz w:val="20"/>
          <w:szCs w:val="20"/>
        </w:rPr>
        <w:t>[</w:t>
      </w:r>
      <w:r w:rsidR="008A238F">
        <w:rPr>
          <w:kern w:val="24"/>
        </w:rPr>
        <w:t>5</w:t>
      </w:r>
      <w:r>
        <w:rPr>
          <w:kern w:val="24"/>
        </w:rPr>
        <w:t xml:space="preserve">] (see also </w:t>
      </w:r>
      <w:hyperlink r:id="rId19" w:history="1">
        <w:r w:rsidR="005C0E3C" w:rsidRPr="00F55AD3">
          <w:rPr>
            <w:rStyle w:val="Hyperlink"/>
            <w:kern w:val="24"/>
          </w:rPr>
          <w:t>https://www.gtexportal.org/home/gene/PIEZO2</w:t>
        </w:r>
      </w:hyperlink>
      <w:r w:rsidRPr="001C5804">
        <w:rPr>
          <w:kern w:val="24"/>
        </w:rPr>
        <w:t xml:space="preserve">). The expression of each gene is shown as </w:t>
      </w:r>
      <w:r>
        <w:rPr>
          <w:kern w:val="24"/>
        </w:rPr>
        <w:t xml:space="preserve">log10 (TPM + 1) where TPM represents the gene transcripts per million and should be read as the specific gene </w:t>
      </w:r>
      <w:r w:rsidR="001F79E4">
        <w:rPr>
          <w:kern w:val="24"/>
        </w:rPr>
        <w:t>transcript for each 1 million RNA molecules in the RNA</w:t>
      </w:r>
      <w:r>
        <w:rPr>
          <w:kern w:val="24"/>
        </w:rPr>
        <w:t xml:space="preserve"> sequence data. The number associated with each symbol is the actual TPM for</w:t>
      </w:r>
      <w:r w:rsidRPr="00CE6D1F">
        <w:rPr>
          <w:kern w:val="24"/>
        </w:rPr>
        <w:t xml:space="preserve"> each tissue and </w:t>
      </w:r>
      <w:r>
        <w:rPr>
          <w:kern w:val="24"/>
        </w:rPr>
        <w:t xml:space="preserve">is </w:t>
      </w:r>
      <w:r w:rsidRPr="00CE6D1F">
        <w:rPr>
          <w:kern w:val="24"/>
        </w:rPr>
        <w:t>taken from the linear plots.</w:t>
      </w:r>
      <w:r>
        <w:rPr>
          <w:kern w:val="24"/>
        </w:rPr>
        <w:t xml:space="preserve"> </w:t>
      </w:r>
      <w:r w:rsidRPr="00CE6D1F">
        <w:rPr>
          <w:kern w:val="24"/>
        </w:rPr>
        <w:t xml:space="preserve">The TPM values for colon and lung TPM have been included because they represented the tissues with the highest transcript expression for </w:t>
      </w:r>
      <w:r w:rsidRPr="00CE6D1F">
        <w:rPr>
          <w:i/>
          <w:kern w:val="24"/>
        </w:rPr>
        <w:t>PIEZO2 and PIEZO1</w:t>
      </w:r>
      <w:r w:rsidRPr="00CE6D1F">
        <w:rPr>
          <w:kern w:val="24"/>
        </w:rPr>
        <w:t>, respectively.</w:t>
      </w:r>
      <w:r>
        <w:rPr>
          <w:kern w:val="24"/>
        </w:rPr>
        <w:t xml:space="preserve"> </w:t>
      </w:r>
      <w:r w:rsidRPr="00CE6D1F">
        <w:rPr>
          <w:bdr w:val="none" w:sz="0" w:space="0" w:color="auto" w:frame="1"/>
        </w:rPr>
        <w:t xml:space="preserve">As documented by </w:t>
      </w:r>
      <w:proofErr w:type="spellStart"/>
      <w:r w:rsidRPr="00CE6D1F">
        <w:rPr>
          <w:bdr w:val="none" w:sz="0" w:space="0" w:color="auto" w:frame="1"/>
        </w:rPr>
        <w:t>GTex</w:t>
      </w:r>
      <w:proofErr w:type="spellEnd"/>
      <w:r w:rsidRPr="00CE6D1F">
        <w:rPr>
          <w:bdr w:val="none" w:sz="0" w:space="0" w:color="auto" w:frame="1"/>
        </w:rPr>
        <w:t xml:space="preserve">, the frontal cortex and cortex and the cerebellum and cerebellar hemisphere samples are sample duplicates. The relatively low </w:t>
      </w:r>
      <w:r w:rsidRPr="00CE6D1F">
        <w:rPr>
          <w:i/>
          <w:bdr w:val="none" w:sz="0" w:space="0" w:color="auto" w:frame="1"/>
        </w:rPr>
        <w:t xml:space="preserve">PIEZO2 </w:t>
      </w:r>
      <w:r w:rsidRPr="00CE6D1F">
        <w:rPr>
          <w:bdr w:val="none" w:sz="0" w:space="0" w:color="auto" w:frame="1"/>
        </w:rPr>
        <w:t xml:space="preserve">expression in </w:t>
      </w:r>
      <w:r>
        <w:rPr>
          <w:bdr w:val="none" w:sz="0" w:space="0" w:color="auto" w:frame="1"/>
        </w:rPr>
        <w:t xml:space="preserve">the </w:t>
      </w:r>
      <w:r w:rsidRPr="00CE6D1F">
        <w:rPr>
          <w:bdr w:val="none" w:sz="0" w:space="0" w:color="auto" w:frame="1"/>
        </w:rPr>
        <w:t xml:space="preserve">cerebellum may indicate the highly selective expression of </w:t>
      </w:r>
      <w:r w:rsidRPr="00CE6D1F">
        <w:rPr>
          <w:i/>
          <w:bdr w:val="none" w:sz="0" w:space="0" w:color="auto" w:frame="1"/>
        </w:rPr>
        <w:t>PIEZO2</w:t>
      </w:r>
      <w:r w:rsidRPr="00CE6D1F">
        <w:rPr>
          <w:bdr w:val="none" w:sz="0" w:space="0" w:color="auto" w:frame="1"/>
        </w:rPr>
        <w:t xml:space="preserve"> in Purkinje cells that form only a very small proportion of cells in the cerebellum [</w:t>
      </w:r>
      <w:r w:rsidR="008A238F">
        <w:rPr>
          <w:bdr w:val="none" w:sz="0" w:space="0" w:color="auto" w:frame="1"/>
        </w:rPr>
        <w:t>6</w:t>
      </w:r>
      <w:r w:rsidRPr="00CE6D1F">
        <w:rPr>
          <w:bdr w:val="none" w:sz="0" w:space="0" w:color="auto" w:frame="1"/>
        </w:rPr>
        <w:t>].</w:t>
      </w:r>
      <w:r>
        <w:rPr>
          <w:bdr w:val="none" w:sz="0" w:space="0" w:color="auto" w:frame="1"/>
        </w:rPr>
        <w:t xml:space="preserve"> </w:t>
      </w:r>
      <w:r w:rsidRPr="00CE6D1F">
        <w:t>The Genotype-Tissue Expression (</w:t>
      </w:r>
      <w:proofErr w:type="spellStart"/>
      <w:r w:rsidRPr="00CE6D1F">
        <w:t>GTEx</w:t>
      </w:r>
      <w:proofErr w:type="spellEnd"/>
      <w:r w:rsidRPr="00CE6D1F">
        <w:t>) Project was supported by the</w:t>
      </w:r>
      <w:r w:rsidR="008A238F">
        <w:t xml:space="preserve"> </w:t>
      </w:r>
      <w:hyperlink r:id="rId20" w:tgtFrame="_blank" w:history="1">
        <w:r w:rsidRPr="00CE6D1F">
          <w:rPr>
            <w:rStyle w:val="Hyperlink"/>
            <w:szCs w:val="24"/>
            <w:bdr w:val="none" w:sz="0" w:space="0" w:color="auto" w:frame="1"/>
          </w:rPr>
          <w:t>Common Fund</w:t>
        </w:r>
      </w:hyperlink>
      <w:r w:rsidR="006E46A0">
        <w:rPr>
          <w:rStyle w:val="Hyperlink"/>
          <w:szCs w:val="24"/>
          <w:bdr w:val="none" w:sz="0" w:space="0" w:color="auto" w:frame="1"/>
        </w:rPr>
        <w:t xml:space="preserve"> </w:t>
      </w:r>
      <w:r w:rsidRPr="00CE6D1F">
        <w:t>of the Office of the Director of the National Institutes of Health and by NCI, N</w:t>
      </w:r>
      <w:r w:rsidR="001F79E4">
        <w:t>HGRI</w:t>
      </w:r>
      <w:r w:rsidRPr="00CE6D1F">
        <w:t>, NHLBI, N</w:t>
      </w:r>
      <w:r w:rsidR="001F79E4">
        <w:t>IDA</w:t>
      </w:r>
      <w:r w:rsidRPr="00CE6D1F">
        <w:t>, NIMH, and NINDS.</w:t>
      </w:r>
    </w:p>
    <w:p w14:paraId="7ACA7BD1" w14:textId="44FCEACD" w:rsidR="008A238F" w:rsidRDefault="008A238F" w:rsidP="00305E2B">
      <w:pPr>
        <w:ind w:firstLineChars="0" w:firstLine="0"/>
      </w:pPr>
    </w:p>
    <w:p w14:paraId="35C88746" w14:textId="003C6DB6" w:rsidR="008A238F" w:rsidRDefault="008A238F" w:rsidP="00305E2B">
      <w:pPr>
        <w:ind w:firstLineChars="0" w:firstLine="0"/>
      </w:pPr>
      <w:r>
        <w:t>References</w:t>
      </w:r>
    </w:p>
    <w:p w14:paraId="7BD116A5" w14:textId="103C957D" w:rsidR="008A238F" w:rsidRPr="0002119E"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1</w:t>
      </w:r>
      <w:r w:rsidRPr="0002119E">
        <w:rPr>
          <w:rFonts w:eastAsia="宋体"/>
          <w:sz w:val="18"/>
          <w:szCs w:val="24"/>
        </w:rPr>
        <w:t xml:space="preserve">] </w:t>
      </w:r>
      <w:proofErr w:type="spellStart"/>
      <w:r w:rsidRPr="0002119E">
        <w:rPr>
          <w:rFonts w:eastAsia="宋体"/>
          <w:sz w:val="18"/>
          <w:szCs w:val="24"/>
        </w:rPr>
        <w:t>Usoskin</w:t>
      </w:r>
      <w:proofErr w:type="spellEnd"/>
      <w:r w:rsidRPr="0002119E">
        <w:rPr>
          <w:rFonts w:eastAsia="宋体"/>
          <w:sz w:val="18"/>
          <w:szCs w:val="24"/>
        </w:rPr>
        <w:t xml:space="preserve"> D, </w:t>
      </w:r>
      <w:proofErr w:type="spellStart"/>
      <w:r w:rsidRPr="0002119E">
        <w:rPr>
          <w:rFonts w:eastAsia="宋体"/>
          <w:sz w:val="18"/>
          <w:szCs w:val="24"/>
        </w:rPr>
        <w:t>Furlan</w:t>
      </w:r>
      <w:proofErr w:type="spellEnd"/>
      <w:r w:rsidRPr="0002119E">
        <w:rPr>
          <w:rFonts w:eastAsia="宋体"/>
          <w:sz w:val="18"/>
          <w:szCs w:val="24"/>
        </w:rPr>
        <w:t xml:space="preserve"> A, Islam S, Abdo H, </w:t>
      </w:r>
      <w:proofErr w:type="spellStart"/>
      <w:r w:rsidRPr="0002119E">
        <w:rPr>
          <w:rFonts w:eastAsia="宋体"/>
          <w:sz w:val="18"/>
          <w:szCs w:val="24"/>
        </w:rPr>
        <w:t>Lönnerberg</w:t>
      </w:r>
      <w:proofErr w:type="spellEnd"/>
      <w:r w:rsidRPr="0002119E">
        <w:rPr>
          <w:rFonts w:eastAsia="宋体"/>
          <w:sz w:val="18"/>
          <w:szCs w:val="24"/>
        </w:rPr>
        <w:t xml:space="preserve"> P, Lou D, </w:t>
      </w:r>
      <w:r w:rsidRPr="0002119E">
        <w:rPr>
          <w:rFonts w:eastAsia="宋体"/>
          <w:i/>
          <w:sz w:val="18"/>
          <w:szCs w:val="24"/>
        </w:rPr>
        <w:t>et al</w:t>
      </w:r>
      <w:r w:rsidRPr="0002119E">
        <w:rPr>
          <w:rFonts w:eastAsia="宋体"/>
          <w:sz w:val="18"/>
          <w:szCs w:val="24"/>
        </w:rPr>
        <w:t>. Unbiased classification of sensory neuron types by large-scale single-cell RNA sequencing. Nature Neuroscience. 2015; 18: 145–153.</w:t>
      </w:r>
    </w:p>
    <w:p w14:paraId="1F5EA0B2" w14:textId="477C66BC" w:rsidR="008A238F" w:rsidRPr="0002119E"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2</w:t>
      </w:r>
      <w:r w:rsidRPr="0002119E">
        <w:rPr>
          <w:rFonts w:eastAsia="宋体"/>
          <w:sz w:val="18"/>
          <w:szCs w:val="24"/>
        </w:rPr>
        <w:t xml:space="preserve">] Sharma N, Flaherty K, </w:t>
      </w:r>
      <w:proofErr w:type="spellStart"/>
      <w:r w:rsidRPr="0002119E">
        <w:rPr>
          <w:rFonts w:eastAsia="宋体"/>
          <w:sz w:val="18"/>
          <w:szCs w:val="24"/>
        </w:rPr>
        <w:t>Lezgiyeva</w:t>
      </w:r>
      <w:proofErr w:type="spellEnd"/>
      <w:r w:rsidRPr="0002119E">
        <w:rPr>
          <w:rFonts w:eastAsia="宋体"/>
          <w:sz w:val="18"/>
          <w:szCs w:val="24"/>
        </w:rPr>
        <w:t xml:space="preserve"> K, Wagner DE, Klein AM, </w:t>
      </w:r>
      <w:proofErr w:type="spellStart"/>
      <w:r w:rsidRPr="0002119E">
        <w:rPr>
          <w:rFonts w:eastAsia="宋体"/>
          <w:sz w:val="18"/>
          <w:szCs w:val="24"/>
        </w:rPr>
        <w:t>Ginty</w:t>
      </w:r>
      <w:proofErr w:type="spellEnd"/>
      <w:r w:rsidRPr="0002119E">
        <w:rPr>
          <w:rFonts w:eastAsia="宋体"/>
          <w:sz w:val="18"/>
          <w:szCs w:val="24"/>
        </w:rPr>
        <w:t xml:space="preserve"> DD. The emergence of transcriptional identity in somatosensory neurons. Nature. 2020; 577: 392–398.</w:t>
      </w:r>
    </w:p>
    <w:p w14:paraId="5707C6D1" w14:textId="2438B8F9" w:rsidR="008A238F" w:rsidRPr="0002119E"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3</w:t>
      </w:r>
      <w:r w:rsidRPr="0002119E">
        <w:rPr>
          <w:rFonts w:eastAsia="宋体"/>
          <w:sz w:val="18"/>
          <w:szCs w:val="24"/>
        </w:rPr>
        <w:t xml:space="preserve">] </w:t>
      </w:r>
      <w:proofErr w:type="spellStart"/>
      <w:r w:rsidRPr="0002119E">
        <w:rPr>
          <w:rFonts w:eastAsia="宋体"/>
          <w:sz w:val="18"/>
          <w:szCs w:val="24"/>
        </w:rPr>
        <w:t>Peier</w:t>
      </w:r>
      <w:proofErr w:type="spellEnd"/>
      <w:r w:rsidRPr="0002119E">
        <w:rPr>
          <w:rFonts w:eastAsia="宋体"/>
          <w:sz w:val="18"/>
          <w:szCs w:val="24"/>
        </w:rPr>
        <w:t xml:space="preserve"> AM, </w:t>
      </w:r>
      <w:proofErr w:type="spellStart"/>
      <w:r w:rsidRPr="0002119E">
        <w:rPr>
          <w:rFonts w:eastAsia="宋体"/>
          <w:sz w:val="18"/>
          <w:szCs w:val="24"/>
        </w:rPr>
        <w:t>Moqrich</w:t>
      </w:r>
      <w:proofErr w:type="spellEnd"/>
      <w:r w:rsidRPr="0002119E">
        <w:rPr>
          <w:rFonts w:eastAsia="宋体"/>
          <w:sz w:val="18"/>
          <w:szCs w:val="24"/>
        </w:rPr>
        <w:t xml:space="preserve"> A, </w:t>
      </w:r>
      <w:proofErr w:type="spellStart"/>
      <w:r w:rsidRPr="0002119E">
        <w:rPr>
          <w:rFonts w:eastAsia="宋体"/>
          <w:sz w:val="18"/>
          <w:szCs w:val="24"/>
        </w:rPr>
        <w:t>Hergarden</w:t>
      </w:r>
      <w:proofErr w:type="spellEnd"/>
      <w:r w:rsidRPr="0002119E">
        <w:rPr>
          <w:rFonts w:eastAsia="宋体"/>
          <w:sz w:val="18"/>
          <w:szCs w:val="24"/>
        </w:rPr>
        <w:t xml:space="preserve"> AC, Reeve AJ, Andersson DA, Story GM, </w:t>
      </w:r>
      <w:r w:rsidRPr="0002119E">
        <w:rPr>
          <w:rFonts w:eastAsia="宋体"/>
          <w:i/>
          <w:sz w:val="18"/>
          <w:szCs w:val="24"/>
        </w:rPr>
        <w:t>et al</w:t>
      </w:r>
      <w:r w:rsidRPr="0002119E">
        <w:rPr>
          <w:rFonts w:eastAsia="宋体"/>
          <w:sz w:val="18"/>
          <w:szCs w:val="24"/>
        </w:rPr>
        <w:t>. A TRP channel that senses cold stimuli and menthol. Cell. 2002; 108: 705–715.</w:t>
      </w:r>
    </w:p>
    <w:p w14:paraId="60632EE5" w14:textId="026A6346" w:rsidR="008A238F" w:rsidRPr="0002119E"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4</w:t>
      </w:r>
      <w:r w:rsidRPr="0002119E">
        <w:rPr>
          <w:rFonts w:eastAsia="宋体"/>
          <w:sz w:val="18"/>
          <w:szCs w:val="24"/>
        </w:rPr>
        <w:t xml:space="preserve">] </w:t>
      </w:r>
      <w:proofErr w:type="spellStart"/>
      <w:r w:rsidRPr="0002119E">
        <w:rPr>
          <w:rFonts w:eastAsia="宋体"/>
          <w:sz w:val="18"/>
          <w:szCs w:val="24"/>
        </w:rPr>
        <w:t>Uhlén</w:t>
      </w:r>
      <w:proofErr w:type="spellEnd"/>
      <w:r w:rsidRPr="0002119E">
        <w:rPr>
          <w:rFonts w:eastAsia="宋体"/>
          <w:sz w:val="18"/>
          <w:szCs w:val="24"/>
        </w:rPr>
        <w:t xml:space="preserve"> M, Fagerberg L, Hallström BM, </w:t>
      </w:r>
      <w:proofErr w:type="spellStart"/>
      <w:r w:rsidRPr="0002119E">
        <w:rPr>
          <w:rFonts w:eastAsia="宋体"/>
          <w:sz w:val="18"/>
          <w:szCs w:val="24"/>
        </w:rPr>
        <w:t>Lindskog</w:t>
      </w:r>
      <w:proofErr w:type="spellEnd"/>
      <w:r w:rsidRPr="0002119E">
        <w:rPr>
          <w:rFonts w:eastAsia="宋体"/>
          <w:sz w:val="18"/>
          <w:szCs w:val="24"/>
        </w:rPr>
        <w:t xml:space="preserve"> C, </w:t>
      </w:r>
      <w:proofErr w:type="spellStart"/>
      <w:r w:rsidRPr="0002119E">
        <w:rPr>
          <w:rFonts w:eastAsia="宋体"/>
          <w:sz w:val="18"/>
          <w:szCs w:val="24"/>
        </w:rPr>
        <w:t>Oksvold</w:t>
      </w:r>
      <w:proofErr w:type="spellEnd"/>
      <w:r w:rsidRPr="0002119E">
        <w:rPr>
          <w:rFonts w:eastAsia="宋体"/>
          <w:sz w:val="18"/>
          <w:szCs w:val="24"/>
        </w:rPr>
        <w:t xml:space="preserve"> P, </w:t>
      </w:r>
      <w:proofErr w:type="spellStart"/>
      <w:r w:rsidRPr="0002119E">
        <w:rPr>
          <w:rFonts w:eastAsia="宋体"/>
          <w:sz w:val="18"/>
          <w:szCs w:val="24"/>
        </w:rPr>
        <w:t>Mardinoglu</w:t>
      </w:r>
      <w:proofErr w:type="spellEnd"/>
      <w:r w:rsidRPr="0002119E">
        <w:rPr>
          <w:rFonts w:eastAsia="宋体"/>
          <w:sz w:val="18"/>
          <w:szCs w:val="24"/>
        </w:rPr>
        <w:t xml:space="preserve"> A, </w:t>
      </w:r>
      <w:r w:rsidRPr="0002119E">
        <w:rPr>
          <w:rFonts w:eastAsia="宋体"/>
          <w:i/>
          <w:sz w:val="18"/>
          <w:szCs w:val="24"/>
        </w:rPr>
        <w:t>et al</w:t>
      </w:r>
      <w:r w:rsidRPr="0002119E">
        <w:rPr>
          <w:rFonts w:eastAsia="宋体"/>
          <w:sz w:val="18"/>
          <w:szCs w:val="24"/>
        </w:rPr>
        <w:t>. Tissue-based map of the human proteome. Science. 2015; 347: 1260419.</w:t>
      </w:r>
    </w:p>
    <w:p w14:paraId="580AE167" w14:textId="3257B593" w:rsidR="008A238F" w:rsidRPr="0002119E"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5</w:t>
      </w:r>
      <w:r w:rsidRPr="0002119E">
        <w:rPr>
          <w:rFonts w:eastAsia="宋体"/>
          <w:sz w:val="18"/>
          <w:szCs w:val="24"/>
        </w:rPr>
        <w:t xml:space="preserve">] </w:t>
      </w:r>
      <w:proofErr w:type="spellStart"/>
      <w:r w:rsidRPr="0002119E">
        <w:rPr>
          <w:rFonts w:eastAsia="宋体"/>
          <w:sz w:val="18"/>
          <w:szCs w:val="24"/>
        </w:rPr>
        <w:t>Ardlie</w:t>
      </w:r>
      <w:proofErr w:type="spellEnd"/>
      <w:r w:rsidRPr="0002119E">
        <w:rPr>
          <w:rFonts w:eastAsia="宋体"/>
          <w:sz w:val="18"/>
          <w:szCs w:val="24"/>
        </w:rPr>
        <w:t xml:space="preserve"> KG, Deluca DS, </w:t>
      </w:r>
      <w:proofErr w:type="spellStart"/>
      <w:r w:rsidRPr="0002119E">
        <w:rPr>
          <w:rFonts w:eastAsia="宋体"/>
          <w:sz w:val="18"/>
          <w:szCs w:val="24"/>
        </w:rPr>
        <w:t>Segrè</w:t>
      </w:r>
      <w:proofErr w:type="spellEnd"/>
      <w:r w:rsidRPr="0002119E">
        <w:rPr>
          <w:rFonts w:eastAsia="宋体"/>
          <w:sz w:val="18"/>
          <w:szCs w:val="24"/>
        </w:rPr>
        <w:t xml:space="preserve"> AV, Sullivan TJ, Young TR, Gelfand ET, </w:t>
      </w:r>
      <w:r w:rsidRPr="0002119E">
        <w:rPr>
          <w:rFonts w:eastAsia="宋体"/>
          <w:i/>
          <w:sz w:val="18"/>
          <w:szCs w:val="24"/>
        </w:rPr>
        <w:t>et al</w:t>
      </w:r>
      <w:r w:rsidRPr="0002119E">
        <w:rPr>
          <w:rFonts w:eastAsia="宋体"/>
          <w:sz w:val="18"/>
          <w:szCs w:val="24"/>
        </w:rPr>
        <w:t>. The Genotype-Tissue Expression (</w:t>
      </w:r>
      <w:proofErr w:type="spellStart"/>
      <w:r w:rsidRPr="0002119E">
        <w:rPr>
          <w:rFonts w:eastAsia="宋体"/>
          <w:sz w:val="18"/>
          <w:szCs w:val="24"/>
        </w:rPr>
        <w:t>GTEx</w:t>
      </w:r>
      <w:proofErr w:type="spellEnd"/>
      <w:r w:rsidRPr="0002119E">
        <w:rPr>
          <w:rFonts w:eastAsia="宋体"/>
          <w:sz w:val="18"/>
          <w:szCs w:val="24"/>
        </w:rPr>
        <w:t>) pilot analysis: multi-tissue gene regulation in humans. Science. 2015; 348: 648–660.</w:t>
      </w:r>
    </w:p>
    <w:p w14:paraId="755F01C2" w14:textId="10DD4003" w:rsidR="00305E2B" w:rsidRPr="008A238F" w:rsidRDefault="008A238F" w:rsidP="008A238F">
      <w:pPr>
        <w:ind w:left="360" w:hangingChars="200" w:hanging="360"/>
        <w:rPr>
          <w:rFonts w:eastAsia="宋体"/>
          <w:sz w:val="18"/>
          <w:szCs w:val="24"/>
        </w:rPr>
      </w:pPr>
      <w:r w:rsidRPr="0002119E">
        <w:rPr>
          <w:rFonts w:eastAsia="宋体"/>
          <w:sz w:val="18"/>
          <w:szCs w:val="24"/>
        </w:rPr>
        <w:t>[</w:t>
      </w:r>
      <w:r>
        <w:rPr>
          <w:rFonts w:eastAsia="宋体"/>
          <w:sz w:val="18"/>
          <w:szCs w:val="24"/>
        </w:rPr>
        <w:t>6</w:t>
      </w:r>
      <w:r w:rsidRPr="0002119E">
        <w:rPr>
          <w:rFonts w:eastAsia="宋体"/>
          <w:sz w:val="18"/>
          <w:szCs w:val="24"/>
        </w:rPr>
        <w:t>] Lange W. Cell number and cell density in the cerebellar cortex of man and some other mammals. Cell and Tissue Research. 1975; 157: 115–124.</w:t>
      </w:r>
    </w:p>
    <w:sectPr w:rsidR="00305E2B" w:rsidRPr="008A238F" w:rsidSect="00305E2B">
      <w:pgSz w:w="11906" w:h="16838"/>
      <w:pgMar w:top="851" w:right="1134" w:bottom="851" w:left="1134" w:header="283" w:footer="113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F0365" w14:textId="77777777" w:rsidR="00AA0EB6" w:rsidRDefault="00AA0EB6" w:rsidP="00305E2B">
      <w:pPr>
        <w:ind w:firstLine="420"/>
      </w:pPr>
      <w:r>
        <w:separator/>
      </w:r>
    </w:p>
  </w:endnote>
  <w:endnote w:type="continuationSeparator" w:id="0">
    <w:p w14:paraId="1CF1552B" w14:textId="77777777" w:rsidR="00AA0EB6" w:rsidRDefault="00AA0EB6" w:rsidP="00305E2B">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DAA0E" w14:textId="77777777" w:rsidR="00305E2B" w:rsidRDefault="00305E2B">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18B36" w14:textId="77777777" w:rsidR="00305E2B" w:rsidRDefault="00305E2B">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1B3725" w14:textId="77777777" w:rsidR="00305E2B" w:rsidRDefault="00305E2B">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3FD9F0" w14:textId="77777777" w:rsidR="00AA0EB6" w:rsidRDefault="00AA0EB6" w:rsidP="00305E2B">
      <w:pPr>
        <w:ind w:firstLine="420"/>
      </w:pPr>
      <w:r>
        <w:separator/>
      </w:r>
    </w:p>
  </w:footnote>
  <w:footnote w:type="continuationSeparator" w:id="0">
    <w:p w14:paraId="24444701" w14:textId="77777777" w:rsidR="00AA0EB6" w:rsidRDefault="00AA0EB6" w:rsidP="00305E2B">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A8BEA" w14:textId="77777777" w:rsidR="00305E2B" w:rsidRDefault="00305E2B">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F5844" w14:textId="77777777" w:rsidR="00305E2B" w:rsidRPr="00305E2B" w:rsidRDefault="00305E2B" w:rsidP="00305E2B">
    <w:pPr>
      <w:ind w:firstLineChars="0" w:firstLine="0"/>
      <w:rPr>
        <w:rFonts w:eastAsia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C74F7" w14:textId="77777777" w:rsidR="00305E2B" w:rsidRDefault="00305E2B">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61A69"/>
    <w:multiLevelType w:val="multilevel"/>
    <w:tmpl w:val="A33E09F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63310ED6"/>
    <w:multiLevelType w:val="multilevel"/>
    <w:tmpl w:val="02E46558"/>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0"/>
  </w:num>
  <w:num w:numId="26">
    <w:abstractNumId w:val="0"/>
  </w:num>
  <w:num w:numId="27">
    <w:abstractNumId w:val="0"/>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D12"/>
    <w:rsid w:val="00006680"/>
    <w:rsid w:val="00012463"/>
    <w:rsid w:val="000756CF"/>
    <w:rsid w:val="000877FC"/>
    <w:rsid w:val="000C1237"/>
    <w:rsid w:val="001A0711"/>
    <w:rsid w:val="001B5438"/>
    <w:rsid w:val="001C5804"/>
    <w:rsid w:val="001D7744"/>
    <w:rsid w:val="001F79E4"/>
    <w:rsid w:val="00212A4E"/>
    <w:rsid w:val="002B6333"/>
    <w:rsid w:val="00304C1C"/>
    <w:rsid w:val="00305E2B"/>
    <w:rsid w:val="003370A1"/>
    <w:rsid w:val="003B022B"/>
    <w:rsid w:val="003F4D12"/>
    <w:rsid w:val="00441AD2"/>
    <w:rsid w:val="004B68BF"/>
    <w:rsid w:val="004E529B"/>
    <w:rsid w:val="004E6ED2"/>
    <w:rsid w:val="00557737"/>
    <w:rsid w:val="005C0E3C"/>
    <w:rsid w:val="005C3BDE"/>
    <w:rsid w:val="005D11F4"/>
    <w:rsid w:val="006373EF"/>
    <w:rsid w:val="00646DAF"/>
    <w:rsid w:val="006624B1"/>
    <w:rsid w:val="006E46A0"/>
    <w:rsid w:val="0071477E"/>
    <w:rsid w:val="007745D7"/>
    <w:rsid w:val="007B334F"/>
    <w:rsid w:val="0083031C"/>
    <w:rsid w:val="00896058"/>
    <w:rsid w:val="008A238F"/>
    <w:rsid w:val="0090252B"/>
    <w:rsid w:val="00960334"/>
    <w:rsid w:val="009E35FE"/>
    <w:rsid w:val="00A70FA3"/>
    <w:rsid w:val="00AA0EB6"/>
    <w:rsid w:val="00B94C7F"/>
    <w:rsid w:val="00C23609"/>
    <w:rsid w:val="00D657AC"/>
    <w:rsid w:val="00E16972"/>
    <w:rsid w:val="00E470AA"/>
    <w:rsid w:val="00E4715E"/>
    <w:rsid w:val="00E6286C"/>
    <w:rsid w:val="00EB392A"/>
    <w:rsid w:val="00F73AB7"/>
    <w:rsid w:val="00FE0A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C8C1B1"/>
  <w15:chartTrackingRefBased/>
  <w15:docId w15:val="{C13A4088-E8C6-44B3-9518-A8E9437AB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AD2"/>
    <w:pPr>
      <w:widowControl w:val="0"/>
      <w:ind w:firstLineChars="200" w:firstLine="200"/>
      <w:jc w:val="both"/>
    </w:pPr>
    <w:rPr>
      <w:rFonts w:ascii="Times New Roman" w:eastAsia="Times New Roman" w:hAnsi="Times New Roman" w:cs="Times New Roman"/>
      <w:szCs w:val="21"/>
    </w:rPr>
  </w:style>
  <w:style w:type="paragraph" w:styleId="Heading1">
    <w:name w:val="heading 1"/>
    <w:aliases w:val="一级标题"/>
    <w:basedOn w:val="Normal"/>
    <w:next w:val="Normal"/>
    <w:link w:val="Heading1Char"/>
    <w:autoRedefine/>
    <w:uiPriority w:val="1"/>
    <w:qFormat/>
    <w:rsid w:val="00441AD2"/>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Heading2">
    <w:name w:val="heading 2"/>
    <w:aliases w:val="二级标题"/>
    <w:basedOn w:val="Normal"/>
    <w:next w:val="Normal"/>
    <w:link w:val="Heading2Char"/>
    <w:autoRedefine/>
    <w:uiPriority w:val="9"/>
    <w:unhideWhenUsed/>
    <w:qFormat/>
    <w:rsid w:val="00441AD2"/>
    <w:pPr>
      <w:keepNext/>
      <w:keepLines/>
      <w:spacing w:beforeLines="50" w:before="156" w:afterLines="50" w:after="156"/>
      <w:ind w:left="578" w:firstLineChars="0" w:hanging="578"/>
      <w:outlineLvl w:val="1"/>
    </w:pPr>
    <w:rPr>
      <w:b/>
      <w:bCs/>
      <w:i/>
      <w:sz w:val="22"/>
    </w:rPr>
  </w:style>
  <w:style w:type="paragraph" w:styleId="Heading3">
    <w:name w:val="heading 3"/>
    <w:aliases w:val="三级标题"/>
    <w:basedOn w:val="Normal"/>
    <w:next w:val="Normal"/>
    <w:link w:val="Heading3Char"/>
    <w:autoRedefine/>
    <w:uiPriority w:val="9"/>
    <w:unhideWhenUsed/>
    <w:qFormat/>
    <w:rsid w:val="00441AD2"/>
    <w:pPr>
      <w:keepNext/>
      <w:keepLines/>
      <w:spacing w:beforeLines="50" w:before="156" w:afterLines="50" w:after="156"/>
      <w:ind w:firstLineChars="0" w:firstLine="0"/>
      <w:outlineLvl w:val="2"/>
    </w:pPr>
    <w:rPr>
      <w:bCs/>
      <w:i/>
      <w:sz w:val="22"/>
      <w:szCs w:val="32"/>
    </w:rPr>
  </w:style>
  <w:style w:type="paragraph" w:styleId="Heading4">
    <w:name w:val="heading 4"/>
    <w:basedOn w:val="Normal"/>
    <w:next w:val="Normal"/>
    <w:link w:val="Heading4Char"/>
    <w:uiPriority w:val="9"/>
    <w:qFormat/>
    <w:rsid w:val="00441AD2"/>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Heading6">
    <w:name w:val="heading 6"/>
    <w:basedOn w:val="Normal"/>
    <w:next w:val="Normal"/>
    <w:link w:val="Heading6Char"/>
    <w:uiPriority w:val="9"/>
    <w:semiHidden/>
    <w:unhideWhenUsed/>
    <w:qFormat/>
    <w:rsid w:val="00441AD2"/>
    <w:pPr>
      <w:keepNext/>
      <w:keepLines/>
      <w:numPr>
        <w:ilvl w:val="5"/>
        <w:numId w:val="28"/>
      </w:numPr>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Heading7">
    <w:name w:val="heading 7"/>
    <w:basedOn w:val="Normal"/>
    <w:next w:val="Normal"/>
    <w:link w:val="Heading7Char"/>
    <w:uiPriority w:val="9"/>
    <w:semiHidden/>
    <w:unhideWhenUsed/>
    <w:qFormat/>
    <w:rsid w:val="00441AD2"/>
    <w:pPr>
      <w:keepNext/>
      <w:keepLines/>
      <w:numPr>
        <w:ilvl w:val="6"/>
        <w:numId w:val="28"/>
      </w:numPr>
      <w:spacing w:before="240" w:after="64" w:line="320" w:lineRule="auto"/>
      <w:ind w:firstLineChars="0" w:firstLine="0"/>
      <w:outlineLvl w:val="6"/>
    </w:pPr>
    <w:rPr>
      <w:b/>
      <w:bCs/>
      <w:sz w:val="24"/>
      <w:szCs w:val="24"/>
    </w:rPr>
  </w:style>
  <w:style w:type="paragraph" w:styleId="Heading8">
    <w:name w:val="heading 8"/>
    <w:basedOn w:val="Normal"/>
    <w:next w:val="Normal"/>
    <w:link w:val="Heading8Char"/>
    <w:uiPriority w:val="9"/>
    <w:semiHidden/>
    <w:unhideWhenUsed/>
    <w:qFormat/>
    <w:rsid w:val="00441AD2"/>
    <w:pPr>
      <w:keepNext/>
      <w:keepLines/>
      <w:numPr>
        <w:ilvl w:val="7"/>
        <w:numId w:val="28"/>
      </w:numPr>
      <w:spacing w:before="240" w:after="64" w:line="320" w:lineRule="auto"/>
      <w:ind w:firstLineChars="0" w:firstLine="0"/>
      <w:outlineLvl w:val="7"/>
    </w:pPr>
    <w:rPr>
      <w:rFonts w:asciiTheme="majorHAnsi" w:eastAsiaTheme="majorEastAsia" w:hAnsiTheme="majorHAnsi" w:cstheme="majorBidi"/>
      <w:sz w:val="24"/>
      <w:szCs w:val="24"/>
    </w:rPr>
  </w:style>
  <w:style w:type="paragraph" w:styleId="Heading9">
    <w:name w:val="heading 9"/>
    <w:basedOn w:val="Normal"/>
    <w:next w:val="Normal"/>
    <w:link w:val="Heading9Char"/>
    <w:uiPriority w:val="9"/>
    <w:semiHidden/>
    <w:unhideWhenUsed/>
    <w:qFormat/>
    <w:rsid w:val="00441AD2"/>
    <w:pPr>
      <w:keepNext/>
      <w:keepLines/>
      <w:numPr>
        <w:ilvl w:val="8"/>
        <w:numId w:val="28"/>
      </w:numPr>
      <w:spacing w:before="240" w:after="64" w:line="320" w:lineRule="auto"/>
      <w:ind w:firstLineChars="0" w:firstLine="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70FA3"/>
    <w:pPr>
      <w:autoSpaceDE w:val="0"/>
      <w:autoSpaceDN w:val="0"/>
      <w:adjustRightInd w:val="0"/>
      <w:ind w:left="133"/>
      <w:jc w:val="center"/>
    </w:pPr>
    <w:rPr>
      <w:rFonts w:ascii="Book Antiqua" w:hAnsi="Book Antiqua" w:cs="Book Antiqua"/>
      <w:kern w:val="0"/>
      <w:sz w:val="24"/>
      <w:szCs w:val="24"/>
    </w:rPr>
  </w:style>
  <w:style w:type="character" w:styleId="Hyperlink">
    <w:name w:val="Hyperlink"/>
    <w:uiPriority w:val="99"/>
    <w:unhideWhenUsed/>
    <w:rsid w:val="00A70FA3"/>
    <w:rPr>
      <w:color w:val="0563C1"/>
      <w:u w:val="single"/>
    </w:rPr>
  </w:style>
  <w:style w:type="character" w:styleId="LineNumber">
    <w:name w:val="line number"/>
    <w:uiPriority w:val="99"/>
    <w:semiHidden/>
    <w:unhideWhenUsed/>
    <w:rsid w:val="00441AD2"/>
  </w:style>
  <w:style w:type="paragraph" w:styleId="ListParagraph">
    <w:name w:val="List Paragraph"/>
    <w:basedOn w:val="Normal"/>
    <w:uiPriority w:val="1"/>
    <w:qFormat/>
    <w:rsid w:val="00A70FA3"/>
    <w:pPr>
      <w:autoSpaceDE w:val="0"/>
      <w:autoSpaceDN w:val="0"/>
      <w:adjustRightInd w:val="0"/>
      <w:spacing w:before="3"/>
      <w:ind w:left="561" w:right="126" w:hanging="431"/>
    </w:pPr>
    <w:rPr>
      <w:rFonts w:ascii="Book Antiqua" w:hAnsi="Book Antiqua" w:cs="Book Antiqua"/>
      <w:kern w:val="0"/>
      <w:sz w:val="24"/>
      <w:szCs w:val="24"/>
    </w:rPr>
  </w:style>
  <w:style w:type="paragraph" w:styleId="BalloonText">
    <w:name w:val="Balloon Text"/>
    <w:basedOn w:val="Normal"/>
    <w:link w:val="BalloonTextChar"/>
    <w:uiPriority w:val="99"/>
    <w:semiHidden/>
    <w:unhideWhenUsed/>
    <w:rsid w:val="00A70FA3"/>
    <w:rPr>
      <w:sz w:val="18"/>
      <w:szCs w:val="18"/>
    </w:rPr>
  </w:style>
  <w:style w:type="character" w:customStyle="1" w:styleId="BalloonTextChar">
    <w:name w:val="Balloon Text Char"/>
    <w:basedOn w:val="DefaultParagraphFont"/>
    <w:link w:val="BalloonText"/>
    <w:uiPriority w:val="99"/>
    <w:semiHidden/>
    <w:rsid w:val="00A70FA3"/>
    <w:rPr>
      <w:rFonts w:ascii="等线" w:eastAsia="等线" w:hAnsi="等线" w:cs="Times New Roman"/>
      <w:sz w:val="18"/>
      <w:szCs w:val="18"/>
    </w:rPr>
  </w:style>
  <w:style w:type="paragraph" w:styleId="Caption">
    <w:name w:val="caption"/>
    <w:basedOn w:val="Normal"/>
    <w:next w:val="Normal"/>
    <w:uiPriority w:val="35"/>
    <w:unhideWhenUsed/>
    <w:qFormat/>
    <w:rsid w:val="00A70FA3"/>
    <w:rPr>
      <w:rFonts w:ascii="等线 Light" w:eastAsia="黑体" w:hAnsi="等线 Light"/>
      <w:sz w:val="20"/>
      <w:szCs w:val="20"/>
    </w:rPr>
  </w:style>
  <w:style w:type="table" w:customStyle="1" w:styleId="5-11">
    <w:name w:val="网格表 5 深色 - 着色 11"/>
    <w:basedOn w:val="TableNormal"/>
    <w:uiPriority w:val="50"/>
    <w:qFormat/>
    <w:rsid w:val="00A70F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TableNormal"/>
    <w:uiPriority w:val="50"/>
    <w:qFormat/>
    <w:rsid w:val="00A70F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TableNormal"/>
    <w:uiPriority w:val="50"/>
    <w:qFormat/>
    <w:rsid w:val="00A70FA3"/>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1">
    <w:name w:val="无列表1"/>
    <w:next w:val="NoList"/>
    <w:uiPriority w:val="99"/>
    <w:semiHidden/>
    <w:unhideWhenUsed/>
    <w:rsid w:val="00A70FA3"/>
  </w:style>
  <w:style w:type="paragraph" w:styleId="Footer">
    <w:name w:val="footer"/>
    <w:basedOn w:val="Normal"/>
    <w:link w:val="FooterChar"/>
    <w:uiPriority w:val="99"/>
    <w:unhideWhenUsed/>
    <w:rsid w:val="00441AD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41AD2"/>
    <w:rPr>
      <w:rFonts w:ascii="Times New Roman" w:eastAsia="Times New Roman" w:hAnsi="Times New Roman" w:cs="Times New Roman"/>
      <w:sz w:val="18"/>
      <w:szCs w:val="18"/>
    </w:rPr>
  </w:style>
  <w:style w:type="paragraph" w:styleId="Header">
    <w:name w:val="header"/>
    <w:basedOn w:val="Normal"/>
    <w:link w:val="HeaderChar"/>
    <w:uiPriority w:val="99"/>
    <w:unhideWhenUsed/>
    <w:rsid w:val="00441AD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441AD2"/>
    <w:rPr>
      <w:rFonts w:ascii="Times New Roman" w:eastAsia="Times New Roman" w:hAnsi="Times New Roman" w:cs="Times New Roman"/>
      <w:sz w:val="18"/>
      <w:szCs w:val="18"/>
    </w:rPr>
  </w:style>
  <w:style w:type="paragraph" w:styleId="BodyText">
    <w:name w:val="Body Text"/>
    <w:basedOn w:val="Normal"/>
    <w:link w:val="BodyTextChar"/>
    <w:autoRedefine/>
    <w:uiPriority w:val="1"/>
    <w:qFormat/>
    <w:rsid w:val="00441AD2"/>
    <w:pPr>
      <w:autoSpaceDE w:val="0"/>
      <w:autoSpaceDN w:val="0"/>
      <w:adjustRightInd w:val="0"/>
      <w:ind w:firstLine="420"/>
    </w:pPr>
    <w:rPr>
      <w:kern w:val="0"/>
    </w:rPr>
  </w:style>
  <w:style w:type="character" w:customStyle="1" w:styleId="BodyTextChar">
    <w:name w:val="Body Text Char"/>
    <w:link w:val="BodyText"/>
    <w:uiPriority w:val="1"/>
    <w:rsid w:val="00441AD2"/>
    <w:rPr>
      <w:rFonts w:ascii="Times New Roman" w:eastAsia="Times New Roman" w:hAnsi="Times New Roman" w:cs="Times New Roman"/>
      <w:kern w:val="0"/>
      <w:szCs w:val="21"/>
    </w:rPr>
  </w:style>
  <w:style w:type="character" w:customStyle="1" w:styleId="Heading1Char">
    <w:name w:val="Heading 1 Char"/>
    <w:aliases w:val="一级标题 Char"/>
    <w:link w:val="Heading1"/>
    <w:uiPriority w:val="1"/>
    <w:rsid w:val="00441AD2"/>
    <w:rPr>
      <w:rFonts w:ascii="Times New Roman" w:eastAsia="Times New Roman" w:hAnsi="Times New Roman" w:cs="Book Antiqua"/>
      <w:b/>
      <w:bCs/>
      <w:kern w:val="0"/>
      <w:sz w:val="24"/>
      <w:szCs w:val="20"/>
    </w:rPr>
  </w:style>
  <w:style w:type="character" w:customStyle="1" w:styleId="Heading2Char">
    <w:name w:val="Heading 2 Char"/>
    <w:aliases w:val="二级标题 Char"/>
    <w:link w:val="Heading2"/>
    <w:uiPriority w:val="9"/>
    <w:rsid w:val="00441AD2"/>
    <w:rPr>
      <w:rFonts w:ascii="Times New Roman" w:eastAsia="Times New Roman" w:hAnsi="Times New Roman" w:cs="Times New Roman"/>
      <w:b/>
      <w:bCs/>
      <w:i/>
      <w:sz w:val="22"/>
      <w:szCs w:val="21"/>
    </w:rPr>
  </w:style>
  <w:style w:type="character" w:customStyle="1" w:styleId="Heading3Char">
    <w:name w:val="Heading 3 Char"/>
    <w:aliases w:val="三级标题 Char"/>
    <w:link w:val="Heading3"/>
    <w:uiPriority w:val="9"/>
    <w:rsid w:val="00441AD2"/>
    <w:rPr>
      <w:rFonts w:ascii="Times New Roman" w:eastAsia="Times New Roman" w:hAnsi="Times New Roman" w:cs="Times New Roman"/>
      <w:bCs/>
      <w:i/>
      <w:sz w:val="22"/>
      <w:szCs w:val="32"/>
    </w:rPr>
  </w:style>
  <w:style w:type="character" w:customStyle="1" w:styleId="Heading4Char">
    <w:name w:val="Heading 4 Char"/>
    <w:link w:val="Heading4"/>
    <w:uiPriority w:val="9"/>
    <w:rsid w:val="00441AD2"/>
    <w:rPr>
      <w:rFonts w:ascii="Calibri Light" w:eastAsia="NimbusRomNo9L" w:hAnsi="Calibri Light" w:cs="NimbusRomNo9L"/>
      <w:b/>
      <w:bCs/>
      <w:kern w:val="0"/>
      <w:sz w:val="28"/>
      <w:szCs w:val="28"/>
    </w:rPr>
  </w:style>
  <w:style w:type="character" w:customStyle="1" w:styleId="Heading6Char">
    <w:name w:val="Heading 6 Char"/>
    <w:basedOn w:val="DefaultParagraphFont"/>
    <w:link w:val="Heading6"/>
    <w:uiPriority w:val="9"/>
    <w:semiHidden/>
    <w:rsid w:val="00441AD2"/>
    <w:rPr>
      <w:rFonts w:asciiTheme="majorHAnsi" w:eastAsiaTheme="majorEastAsia" w:hAnsiTheme="majorHAnsi" w:cstheme="majorBidi"/>
      <w:b/>
      <w:bCs/>
      <w:sz w:val="24"/>
      <w:szCs w:val="24"/>
    </w:rPr>
  </w:style>
  <w:style w:type="character" w:customStyle="1" w:styleId="Heading7Char">
    <w:name w:val="Heading 7 Char"/>
    <w:basedOn w:val="DefaultParagraphFont"/>
    <w:link w:val="Heading7"/>
    <w:uiPriority w:val="9"/>
    <w:semiHidden/>
    <w:rsid w:val="00441AD2"/>
    <w:rPr>
      <w:rFonts w:ascii="Times New Roman" w:eastAsia="Times New Roman" w:hAnsi="Times New Roman" w:cs="Times New Roman"/>
      <w:b/>
      <w:bCs/>
      <w:sz w:val="24"/>
      <w:szCs w:val="24"/>
    </w:rPr>
  </w:style>
  <w:style w:type="character" w:customStyle="1" w:styleId="Heading8Char">
    <w:name w:val="Heading 8 Char"/>
    <w:basedOn w:val="DefaultParagraphFont"/>
    <w:link w:val="Heading8"/>
    <w:uiPriority w:val="9"/>
    <w:semiHidden/>
    <w:rsid w:val="00441AD2"/>
    <w:rPr>
      <w:rFonts w:asciiTheme="majorHAnsi" w:eastAsiaTheme="majorEastAsia" w:hAnsiTheme="majorHAnsi" w:cstheme="majorBidi"/>
      <w:sz w:val="24"/>
      <w:szCs w:val="24"/>
    </w:rPr>
  </w:style>
  <w:style w:type="character" w:customStyle="1" w:styleId="Heading9Char">
    <w:name w:val="Heading 9 Char"/>
    <w:basedOn w:val="DefaultParagraphFont"/>
    <w:link w:val="Heading9"/>
    <w:uiPriority w:val="9"/>
    <w:semiHidden/>
    <w:rsid w:val="00441AD2"/>
    <w:rPr>
      <w:rFonts w:asciiTheme="majorHAnsi" w:eastAsiaTheme="majorEastAsia" w:hAnsiTheme="majorHAnsi" w:cstheme="majorBidi"/>
      <w:szCs w:val="21"/>
    </w:rPr>
  </w:style>
  <w:style w:type="paragraph" w:customStyle="1" w:styleId="Abstract">
    <w:name w:val="Abstract"/>
    <w:basedOn w:val="Normal"/>
    <w:autoRedefine/>
    <w:qFormat/>
    <w:rsid w:val="00441AD2"/>
    <w:pPr>
      <w:ind w:firstLineChars="0" w:firstLine="0"/>
    </w:pPr>
    <w:rPr>
      <w:b/>
      <w:noProof/>
      <w:sz w:val="24"/>
      <w:szCs w:val="24"/>
    </w:rPr>
  </w:style>
  <w:style w:type="paragraph" w:customStyle="1" w:styleId="Keywords">
    <w:name w:val="Keywords"/>
    <w:basedOn w:val="Normal"/>
    <w:autoRedefine/>
    <w:qFormat/>
    <w:rsid w:val="00441AD2"/>
    <w:pPr>
      <w:ind w:firstLineChars="0" w:firstLine="0"/>
    </w:pPr>
    <w:rPr>
      <w:rFonts w:eastAsia="宋体"/>
      <w:b/>
      <w:noProof/>
    </w:rPr>
  </w:style>
  <w:style w:type="paragraph" w:customStyle="1" w:styleId="References">
    <w:name w:val="References"/>
    <w:basedOn w:val="Normal"/>
    <w:link w:val="References0"/>
    <w:autoRedefine/>
    <w:qFormat/>
    <w:rsid w:val="00441AD2"/>
    <w:pPr>
      <w:autoSpaceDE w:val="0"/>
      <w:autoSpaceDN w:val="0"/>
      <w:adjustRightInd w:val="0"/>
      <w:ind w:firstLineChars="0" w:firstLine="0"/>
    </w:pPr>
    <w:rPr>
      <w:b/>
      <w:kern w:val="0"/>
      <w:sz w:val="24"/>
      <w:szCs w:val="24"/>
    </w:rPr>
  </w:style>
  <w:style w:type="character" w:customStyle="1" w:styleId="References0">
    <w:name w:val="References 字符"/>
    <w:basedOn w:val="DefaultParagraphFont"/>
    <w:link w:val="References"/>
    <w:rsid w:val="00441AD2"/>
    <w:rPr>
      <w:rFonts w:ascii="Times New Roman" w:eastAsia="Times New Roman" w:hAnsi="Times New Roman" w:cs="Times New Roman"/>
      <w:b/>
      <w:kern w:val="0"/>
      <w:sz w:val="24"/>
      <w:szCs w:val="24"/>
    </w:rPr>
  </w:style>
  <w:style w:type="paragraph" w:customStyle="1" w:styleId="a">
    <w:name w:val="版权信息"/>
    <w:basedOn w:val="Normal"/>
    <w:autoRedefine/>
    <w:qFormat/>
    <w:rsid w:val="00441AD2"/>
    <w:pPr>
      <w:ind w:firstLineChars="0" w:firstLine="0"/>
    </w:pPr>
  </w:style>
  <w:style w:type="paragraph" w:customStyle="1" w:styleId="a0">
    <w:name w:val="表题"/>
    <w:basedOn w:val="Normal"/>
    <w:autoRedefine/>
    <w:qFormat/>
    <w:rsid w:val="00441AD2"/>
    <w:pPr>
      <w:spacing w:beforeLines="100" w:before="312" w:afterLines="100" w:after="312"/>
      <w:ind w:leftChars="200" w:left="420" w:firstLineChars="0" w:firstLine="0"/>
    </w:pPr>
    <w:rPr>
      <w:b/>
    </w:rPr>
  </w:style>
  <w:style w:type="paragraph" w:customStyle="1" w:styleId="a1">
    <w:name w:val="表注"/>
    <w:basedOn w:val="a0"/>
    <w:autoRedefine/>
    <w:qFormat/>
    <w:rsid w:val="00441AD2"/>
    <w:pPr>
      <w:spacing w:beforeLines="0" w:before="0"/>
      <w:ind w:rightChars="200" w:right="420" w:firstLineChars="100" w:firstLine="210"/>
    </w:pPr>
    <w:rPr>
      <w:b w:val="0"/>
    </w:rPr>
  </w:style>
  <w:style w:type="paragraph" w:customStyle="1" w:styleId="a2">
    <w:name w:val="参考文献"/>
    <w:basedOn w:val="Normal"/>
    <w:autoRedefine/>
    <w:qFormat/>
    <w:rsid w:val="00441AD2"/>
    <w:pPr>
      <w:ind w:left="360" w:hangingChars="200" w:hanging="360"/>
    </w:pPr>
    <w:rPr>
      <w:rFonts w:eastAsiaTheme="minorEastAsia" w:cstheme="minorBidi"/>
      <w:sz w:val="18"/>
      <w:szCs w:val="24"/>
    </w:rPr>
  </w:style>
  <w:style w:type="paragraph" w:customStyle="1" w:styleId="a3">
    <w:name w:val="稿件类型"/>
    <w:basedOn w:val="Normal"/>
    <w:autoRedefine/>
    <w:qFormat/>
    <w:rsid w:val="00441AD2"/>
    <w:pPr>
      <w:ind w:firstLineChars="0" w:firstLine="0"/>
      <w:jc w:val="left"/>
    </w:pPr>
    <w:rPr>
      <w:rFonts w:eastAsia="宋体" w:cstheme="minorBidi"/>
      <w:i/>
      <w:sz w:val="20"/>
    </w:rPr>
  </w:style>
  <w:style w:type="paragraph" w:customStyle="1" w:styleId="a4">
    <w:name w:val="关键词"/>
    <w:basedOn w:val="Keywords"/>
    <w:autoRedefine/>
    <w:qFormat/>
    <w:rsid w:val="00441AD2"/>
    <w:rPr>
      <w:rFonts w:eastAsia="Times New Roman"/>
      <w:b w:val="0"/>
    </w:rPr>
  </w:style>
  <w:style w:type="paragraph" w:customStyle="1" w:styleId="a5">
    <w:name w:val="机构信息"/>
    <w:basedOn w:val="Normal"/>
    <w:link w:val="a6"/>
    <w:autoRedefine/>
    <w:qFormat/>
    <w:rsid w:val="00441AD2"/>
    <w:pPr>
      <w:ind w:firstLineChars="0" w:firstLine="0"/>
    </w:pPr>
    <w:rPr>
      <w:rFonts w:cstheme="minorBidi"/>
      <w:i/>
    </w:rPr>
  </w:style>
  <w:style w:type="character" w:customStyle="1" w:styleId="a6">
    <w:name w:val="机构信息 字符"/>
    <w:link w:val="a5"/>
    <w:rsid w:val="00441AD2"/>
    <w:rPr>
      <w:rFonts w:ascii="Times New Roman" w:eastAsia="Times New Roman" w:hAnsi="Times New Roman"/>
      <w:i/>
      <w:szCs w:val="21"/>
    </w:rPr>
  </w:style>
  <w:style w:type="paragraph" w:customStyle="1" w:styleId="a7">
    <w:name w:val="接收日期"/>
    <w:basedOn w:val="Normal"/>
    <w:autoRedefine/>
    <w:qFormat/>
    <w:rsid w:val="00441AD2"/>
    <w:pPr>
      <w:ind w:firstLineChars="0" w:firstLine="0"/>
    </w:pPr>
  </w:style>
  <w:style w:type="paragraph" w:customStyle="1" w:styleId="a8">
    <w:name w:val="通讯作者"/>
    <w:basedOn w:val="Normal"/>
    <w:autoRedefine/>
    <w:qFormat/>
    <w:rsid w:val="00441AD2"/>
    <w:pPr>
      <w:ind w:firstLineChars="0" w:firstLine="0"/>
    </w:pPr>
  </w:style>
  <w:style w:type="paragraph" w:customStyle="1" w:styleId="a9">
    <w:name w:val="图注"/>
    <w:basedOn w:val="a1"/>
    <w:autoRedefine/>
    <w:qFormat/>
    <w:rsid w:val="00441AD2"/>
    <w:pPr>
      <w:spacing w:beforeLines="100" w:before="100" w:after="100"/>
      <w:ind w:leftChars="0" w:left="0" w:right="200" w:firstLineChars="0" w:firstLine="0"/>
    </w:pPr>
  </w:style>
  <w:style w:type="paragraph" w:customStyle="1" w:styleId="aa">
    <w:name w:val="文章标题"/>
    <w:basedOn w:val="Normal"/>
    <w:link w:val="ab"/>
    <w:autoRedefine/>
    <w:qFormat/>
    <w:rsid w:val="00441AD2"/>
    <w:pPr>
      <w:kinsoku w:val="0"/>
      <w:overflowPunct w:val="0"/>
      <w:autoSpaceDE w:val="0"/>
      <w:autoSpaceDN w:val="0"/>
      <w:adjustRightInd w:val="0"/>
      <w:ind w:firstLineChars="0" w:firstLine="0"/>
    </w:pPr>
    <w:rPr>
      <w:rFonts w:cstheme="minorBidi"/>
      <w:b/>
      <w:bCs/>
      <w:spacing w:val="-8"/>
      <w:sz w:val="36"/>
      <w:szCs w:val="36"/>
    </w:rPr>
  </w:style>
  <w:style w:type="character" w:customStyle="1" w:styleId="ab">
    <w:name w:val="文章标题 字符"/>
    <w:link w:val="aa"/>
    <w:rsid w:val="00441AD2"/>
    <w:rPr>
      <w:rFonts w:ascii="Times New Roman" w:eastAsia="Times New Roman" w:hAnsi="Times New Roman"/>
      <w:b/>
      <w:bCs/>
      <w:spacing w:val="-8"/>
      <w:sz w:val="36"/>
      <w:szCs w:val="36"/>
    </w:rPr>
  </w:style>
  <w:style w:type="paragraph" w:customStyle="1" w:styleId="ac">
    <w:name w:val="摘要"/>
    <w:basedOn w:val="Abstract"/>
    <w:autoRedefine/>
    <w:qFormat/>
    <w:rsid w:val="00441AD2"/>
    <w:rPr>
      <w:b w:val="0"/>
      <w:sz w:val="21"/>
      <w:szCs w:val="21"/>
    </w:rPr>
  </w:style>
  <w:style w:type="paragraph" w:customStyle="1" w:styleId="ad">
    <w:name w:val="致谢部分"/>
    <w:basedOn w:val="BodyText"/>
    <w:link w:val="ae"/>
    <w:autoRedefine/>
    <w:qFormat/>
    <w:rsid w:val="00441AD2"/>
    <w:pPr>
      <w:ind w:firstLineChars="0" w:firstLine="0"/>
    </w:pPr>
    <w:rPr>
      <w:b/>
      <w:sz w:val="24"/>
      <w:szCs w:val="24"/>
    </w:rPr>
  </w:style>
  <w:style w:type="character" w:customStyle="1" w:styleId="ae">
    <w:name w:val="致谢部分 字符"/>
    <w:basedOn w:val="BodyTextChar"/>
    <w:link w:val="ad"/>
    <w:rsid w:val="00441AD2"/>
    <w:rPr>
      <w:rFonts w:ascii="Times New Roman" w:eastAsia="Times New Roman" w:hAnsi="Times New Roman" w:cs="Times New Roman"/>
      <w:b/>
      <w:kern w:val="0"/>
      <w:sz w:val="24"/>
      <w:szCs w:val="24"/>
    </w:rPr>
  </w:style>
  <w:style w:type="paragraph" w:customStyle="1" w:styleId="af">
    <w:name w:val="作者信息"/>
    <w:basedOn w:val="Normal"/>
    <w:autoRedefine/>
    <w:qFormat/>
    <w:rsid w:val="00441AD2"/>
    <w:pPr>
      <w:ind w:firstLineChars="0" w:firstLine="0"/>
    </w:pPr>
    <w:rPr>
      <w:rFonts w:cstheme="minorBidi"/>
    </w:rPr>
  </w:style>
  <w:style w:type="character" w:styleId="UnresolvedMention">
    <w:name w:val="Unresolved Mention"/>
    <w:basedOn w:val="DefaultParagraphFont"/>
    <w:uiPriority w:val="99"/>
    <w:semiHidden/>
    <w:unhideWhenUsed/>
    <w:rsid w:val="00C236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1.xml"/><Relationship Id="rId18" Type="http://schemas.openxmlformats.org/officeDocument/2006/relationships/hyperlink" Target="https://www.proteinatlas.org/ENSG00000154864-PIEZO2/tissu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image" Target="media/image2.tiff"/><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commonfund.nih.gov/GTEx/inde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kleintools.hms.harvard.edu/tools/springViewer_1_6_dev.html?datasets/Sharma2019/all" TargetMode="External"/><Relationship Id="rId19" Type="http://schemas.openxmlformats.org/officeDocument/2006/relationships/hyperlink" Target="https://www.gtexportal.org/home/gene/PIEZO2" TargetMode="External"/><Relationship Id="rId4" Type="http://schemas.openxmlformats.org/officeDocument/2006/relationships/settings" Target="settings.xml"/><Relationship Id="rId9" Type="http://schemas.openxmlformats.org/officeDocument/2006/relationships/hyperlink" Target="http://linnarssonlab.org/drg/"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A91F6-84C9-499C-9B5E-AD4E0F8EC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653</Words>
  <Characters>3727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dc:creator>
  <cp:keywords/>
  <dc:description/>
  <cp:lastModifiedBy>Iris</cp:lastModifiedBy>
  <cp:revision>16</cp:revision>
  <dcterms:created xsi:type="dcterms:W3CDTF">2021-11-19T08:24:00Z</dcterms:created>
  <dcterms:modified xsi:type="dcterms:W3CDTF">2021-12-21T05:47:00Z</dcterms:modified>
</cp:coreProperties>
</file>